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0"/>
        <w:ind w:left="316" w:right="8083" w:firstLine="0"/>
        <w:jc w:val="left"/>
        <w:rPr>
          <w:sz w:val="16"/>
        </w:rPr>
      </w:pPr>
      <w:r>
        <w:rPr>
          <w:sz w:val="16"/>
        </w:rPr>
        <w:drawing>
          <wp:anchor distT="0" distB="0" distL="0" distR="0" allowOverlap="1" layoutInCell="1" locked="0" behindDoc="0" simplePos="0" relativeHeight="15728640">
            <wp:simplePos x="0" y="0"/>
            <wp:positionH relativeFrom="page">
              <wp:posOffset>5507990</wp:posOffset>
            </wp:positionH>
            <wp:positionV relativeFrom="paragraph">
              <wp:posOffset>51815</wp:posOffset>
            </wp:positionV>
            <wp:extent cx="1396998" cy="1255342"/>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396998" cy="1255342"/>
                    </a:xfrm>
                    <a:prstGeom prst="rect">
                      <a:avLst/>
                    </a:prstGeom>
                  </pic:spPr>
                </pic:pic>
              </a:graphicData>
            </a:graphic>
          </wp:anchor>
        </w:drawing>
      </w:r>
      <w:r>
        <w:rPr>
          <w:b/>
          <w:color w:val="333333"/>
          <w:sz w:val="16"/>
        </w:rPr>
        <w:t>Teatre Nacional</w:t>
      </w:r>
      <w:r>
        <w:rPr>
          <w:b/>
          <w:color w:val="333333"/>
          <w:spacing w:val="40"/>
          <w:sz w:val="16"/>
        </w:rPr>
        <w:t> </w:t>
      </w:r>
      <w:r>
        <w:rPr>
          <w:b/>
          <w:color w:val="333333"/>
          <w:sz w:val="16"/>
        </w:rPr>
        <w:t>de Catalunya </w:t>
      </w:r>
      <w:r>
        <w:rPr>
          <w:color w:val="333333"/>
          <w:sz w:val="16"/>
        </w:rPr>
        <w:t>Plaça</w:t>
      </w:r>
      <w:r>
        <w:rPr>
          <w:color w:val="333333"/>
          <w:spacing w:val="-9"/>
          <w:sz w:val="16"/>
        </w:rPr>
        <w:t> </w:t>
      </w:r>
      <w:r>
        <w:rPr>
          <w:color w:val="333333"/>
          <w:sz w:val="16"/>
        </w:rPr>
        <w:t>de</w:t>
      </w:r>
      <w:r>
        <w:rPr>
          <w:color w:val="333333"/>
          <w:spacing w:val="-8"/>
          <w:sz w:val="16"/>
        </w:rPr>
        <w:t> </w:t>
      </w:r>
      <w:r>
        <w:rPr>
          <w:color w:val="333333"/>
          <w:sz w:val="16"/>
        </w:rPr>
        <w:t>les</w:t>
      </w:r>
      <w:r>
        <w:rPr>
          <w:color w:val="333333"/>
          <w:spacing w:val="-8"/>
          <w:sz w:val="16"/>
        </w:rPr>
        <w:t> </w:t>
      </w:r>
      <w:r>
        <w:rPr>
          <w:color w:val="333333"/>
          <w:sz w:val="16"/>
        </w:rPr>
        <w:t>Arts,</w:t>
      </w:r>
      <w:r>
        <w:rPr>
          <w:color w:val="333333"/>
          <w:spacing w:val="-8"/>
          <w:sz w:val="16"/>
        </w:rPr>
        <w:t> </w:t>
      </w:r>
      <w:r>
        <w:rPr>
          <w:color w:val="333333"/>
          <w:sz w:val="16"/>
        </w:rPr>
        <w:t>1 E</w:t>
      </w:r>
      <w:r>
        <w:rPr>
          <w:color w:val="333333"/>
          <w:spacing w:val="-2"/>
          <w:sz w:val="16"/>
        </w:rPr>
        <w:t> </w:t>
      </w:r>
      <w:r>
        <w:rPr>
          <w:color w:val="333333"/>
          <w:sz w:val="16"/>
        </w:rPr>
        <w:t>08013</w:t>
      </w:r>
      <w:r>
        <w:rPr>
          <w:color w:val="333333"/>
          <w:spacing w:val="-3"/>
          <w:sz w:val="16"/>
        </w:rPr>
        <w:t> </w:t>
      </w:r>
      <w:r>
        <w:rPr>
          <w:color w:val="333333"/>
          <w:spacing w:val="-2"/>
          <w:sz w:val="16"/>
        </w:rPr>
        <w:t>Barcelona</w:t>
      </w:r>
    </w:p>
    <w:p>
      <w:pPr>
        <w:spacing w:before="1"/>
        <w:ind w:left="316" w:right="0" w:firstLine="0"/>
        <w:jc w:val="left"/>
        <w:rPr>
          <w:sz w:val="16"/>
        </w:rPr>
      </w:pPr>
      <w:r>
        <w:rPr>
          <w:color w:val="333333"/>
          <w:sz w:val="16"/>
        </w:rPr>
        <w:t>Tel.</w:t>
      </w:r>
      <w:r>
        <w:rPr>
          <w:color w:val="333333"/>
          <w:spacing w:val="-2"/>
          <w:sz w:val="16"/>
        </w:rPr>
        <w:t> </w:t>
      </w:r>
      <w:r>
        <w:rPr>
          <w:color w:val="333333"/>
          <w:sz w:val="16"/>
        </w:rPr>
        <w:t>34</w:t>
      </w:r>
      <w:r>
        <w:rPr>
          <w:color w:val="333333"/>
          <w:spacing w:val="-3"/>
          <w:sz w:val="16"/>
        </w:rPr>
        <w:t> </w:t>
      </w:r>
      <w:r>
        <w:rPr>
          <w:color w:val="333333"/>
          <w:sz w:val="16"/>
        </w:rPr>
        <w:t>933</w:t>
      </w:r>
      <w:r>
        <w:rPr>
          <w:color w:val="333333"/>
          <w:spacing w:val="-2"/>
          <w:sz w:val="16"/>
        </w:rPr>
        <w:t> </w:t>
      </w:r>
      <w:r>
        <w:rPr>
          <w:color w:val="333333"/>
          <w:sz w:val="16"/>
        </w:rPr>
        <w:t>065</w:t>
      </w:r>
      <w:r>
        <w:rPr>
          <w:color w:val="333333"/>
          <w:spacing w:val="-1"/>
          <w:sz w:val="16"/>
        </w:rPr>
        <w:t> </w:t>
      </w:r>
      <w:r>
        <w:rPr>
          <w:color w:val="333333"/>
          <w:spacing w:val="-5"/>
          <w:sz w:val="16"/>
        </w:rPr>
        <w:t>700</w:t>
      </w:r>
    </w:p>
    <w:p>
      <w:pPr>
        <w:spacing w:before="1"/>
        <w:ind w:left="316" w:right="7780" w:firstLine="0"/>
        <w:jc w:val="left"/>
        <w:rPr>
          <w:sz w:val="16"/>
        </w:rPr>
      </w:pPr>
      <w:hyperlink r:id="rId6">
        <w:r>
          <w:rPr>
            <w:spacing w:val="-2"/>
            <w:sz w:val="16"/>
          </w:rPr>
          <w:t>info@tnc.cat</w:t>
        </w:r>
      </w:hyperlink>
      <w:r>
        <w:rPr>
          <w:spacing w:val="-2"/>
          <w:sz w:val="16"/>
        </w:rPr>
        <w:t> </w:t>
      </w:r>
      <w:hyperlink r:id="rId7">
        <w:r>
          <w:rPr>
            <w:spacing w:val="-2"/>
            <w:sz w:val="16"/>
          </w:rPr>
          <w:t>www.tnc.cat</w:t>
        </w:r>
      </w:hyperlink>
    </w:p>
    <w:p>
      <w:pPr>
        <w:pStyle w:val="BodyText"/>
      </w:pPr>
    </w:p>
    <w:p>
      <w:pPr>
        <w:pStyle w:val="BodyText"/>
      </w:pPr>
    </w:p>
    <w:p>
      <w:pPr>
        <w:pStyle w:val="BodyText"/>
      </w:pPr>
    </w:p>
    <w:p>
      <w:pPr>
        <w:pStyle w:val="BodyText"/>
      </w:pPr>
    </w:p>
    <w:p>
      <w:pPr>
        <w:pStyle w:val="BodyText"/>
        <w:spacing w:before="92"/>
      </w:pPr>
    </w:p>
    <w:p>
      <w:pPr>
        <w:pStyle w:val="Title"/>
      </w:pPr>
      <w:r>
        <w:rPr>
          <w:color w:val="C00000"/>
        </w:rPr>
        <w:t>INFORMACIÓ</w:t>
      </w:r>
      <w:r>
        <w:rPr>
          <w:color w:val="C00000"/>
          <w:spacing w:val="-4"/>
        </w:rPr>
        <w:t> </w:t>
      </w:r>
      <w:r>
        <w:rPr>
          <w:color w:val="C00000"/>
        </w:rPr>
        <w:t>SOBRE</w:t>
      </w:r>
      <w:r>
        <w:rPr>
          <w:color w:val="C00000"/>
          <w:spacing w:val="-2"/>
        </w:rPr>
        <w:t> </w:t>
      </w:r>
      <w:r>
        <w:rPr>
          <w:color w:val="C00000"/>
        </w:rPr>
        <w:t>L’ENTITAT</w:t>
      </w:r>
      <w:r>
        <w:rPr>
          <w:color w:val="C00000"/>
          <w:spacing w:val="-3"/>
        </w:rPr>
        <w:t> </w:t>
      </w:r>
      <w:r>
        <w:rPr>
          <w:color w:val="C00000"/>
        </w:rPr>
        <w:t>I</w:t>
      </w:r>
      <w:r>
        <w:rPr>
          <w:color w:val="C00000"/>
          <w:spacing w:val="-2"/>
        </w:rPr>
        <w:t> </w:t>
      </w:r>
      <w:r>
        <w:rPr>
          <w:color w:val="C00000"/>
        </w:rPr>
        <w:t>ELS</w:t>
      </w:r>
      <w:r>
        <w:rPr>
          <w:color w:val="C00000"/>
          <w:spacing w:val="-2"/>
        </w:rPr>
        <w:t> </w:t>
      </w:r>
      <w:r>
        <w:rPr>
          <w:color w:val="C00000"/>
        </w:rPr>
        <w:t>ÒRGANS</w:t>
      </w:r>
      <w:r>
        <w:rPr>
          <w:color w:val="C00000"/>
          <w:spacing w:val="-2"/>
        </w:rPr>
        <w:t> </w:t>
      </w:r>
      <w:r>
        <w:rPr>
          <w:color w:val="C00000"/>
        </w:rPr>
        <w:t>DE</w:t>
      </w:r>
      <w:r>
        <w:rPr>
          <w:color w:val="C00000"/>
          <w:spacing w:val="-1"/>
        </w:rPr>
        <w:t> </w:t>
      </w:r>
      <w:r>
        <w:rPr>
          <w:color w:val="C00000"/>
          <w:spacing w:val="-2"/>
        </w:rPr>
        <w:t>CONTRACTACIÓ</w:t>
      </w:r>
    </w:p>
    <w:p>
      <w:pPr>
        <w:pStyle w:val="BodyText"/>
        <w:rPr>
          <w:b/>
        </w:rPr>
      </w:pPr>
    </w:p>
    <w:p>
      <w:pPr>
        <w:pStyle w:val="BodyText"/>
        <w:ind w:left="141" w:right="287"/>
        <w:jc w:val="both"/>
      </w:pPr>
      <w:r>
        <w:rPr/>
        <w:t>Amb l’entrada en vigor de la Llei 9/2017, de 8 de novembre, de Contractes del Sector Públic el dia 9 de març de 2018, la contractació pública electrònica és obligatòria.</w:t>
      </w:r>
    </w:p>
    <w:p>
      <w:pPr>
        <w:pStyle w:val="BodyText"/>
        <w:ind w:left="141" w:right="289"/>
        <w:jc w:val="both"/>
      </w:pPr>
      <w:r>
        <w:rPr/>
        <w:t>En ampliar-se l’àmbit subjectiu d’aquesta nova llei, s’aplica en una gran part als poders adjudicadors no considerats administració pública, consideració de la qual gaudeix el TNC en ser una empresa pública adscrita al Departament de Cultura de la Generalitat de Catalunya.</w:t>
      </w:r>
    </w:p>
    <w:p>
      <w:pPr>
        <w:pStyle w:val="BodyText"/>
        <w:ind w:left="141"/>
        <w:jc w:val="both"/>
      </w:pPr>
      <w:r>
        <w:rPr/>
        <w:t>El</w:t>
      </w:r>
      <w:r>
        <w:rPr>
          <w:spacing w:val="2"/>
        </w:rPr>
        <w:t> </w:t>
      </w:r>
      <w:r>
        <w:rPr/>
        <w:t>règim</w:t>
      </w:r>
      <w:r>
        <w:rPr>
          <w:spacing w:val="7"/>
        </w:rPr>
        <w:t> </w:t>
      </w:r>
      <w:r>
        <w:rPr/>
        <w:t>jurídic</w:t>
      </w:r>
      <w:r>
        <w:rPr>
          <w:spacing w:val="5"/>
        </w:rPr>
        <w:t> </w:t>
      </w:r>
      <w:r>
        <w:rPr/>
        <w:t>aplicable</w:t>
      </w:r>
      <w:r>
        <w:rPr>
          <w:spacing w:val="6"/>
        </w:rPr>
        <w:t> </w:t>
      </w:r>
      <w:r>
        <w:rPr/>
        <w:t>al</w:t>
      </w:r>
      <w:r>
        <w:rPr>
          <w:spacing w:val="5"/>
        </w:rPr>
        <w:t> </w:t>
      </w:r>
      <w:r>
        <w:rPr/>
        <w:t>TNC</w:t>
      </w:r>
      <w:r>
        <w:rPr>
          <w:spacing w:val="4"/>
        </w:rPr>
        <w:t> </w:t>
      </w:r>
      <w:r>
        <w:rPr/>
        <w:t>s’estableix</w:t>
      </w:r>
      <w:r>
        <w:rPr>
          <w:spacing w:val="5"/>
        </w:rPr>
        <w:t> </w:t>
      </w:r>
      <w:r>
        <w:rPr/>
        <w:t>en</w:t>
      </w:r>
      <w:r>
        <w:rPr>
          <w:spacing w:val="6"/>
        </w:rPr>
        <w:t> </w:t>
      </w:r>
      <w:r>
        <w:rPr/>
        <w:t>el</w:t>
      </w:r>
      <w:r>
        <w:rPr>
          <w:spacing w:val="5"/>
        </w:rPr>
        <w:t> </w:t>
      </w:r>
      <w:r>
        <w:rPr/>
        <w:t>Títol</w:t>
      </w:r>
      <w:r>
        <w:rPr>
          <w:spacing w:val="5"/>
        </w:rPr>
        <w:t> </w:t>
      </w:r>
      <w:r>
        <w:rPr/>
        <w:t>I</w:t>
      </w:r>
      <w:r>
        <w:rPr>
          <w:spacing w:val="5"/>
        </w:rPr>
        <w:t> </w:t>
      </w:r>
      <w:r>
        <w:rPr/>
        <w:t>del</w:t>
      </w:r>
      <w:r>
        <w:rPr>
          <w:spacing w:val="5"/>
        </w:rPr>
        <w:t> </w:t>
      </w:r>
      <w:r>
        <w:rPr/>
        <w:t>Llibre</w:t>
      </w:r>
      <w:r>
        <w:rPr>
          <w:spacing w:val="6"/>
        </w:rPr>
        <w:t> </w:t>
      </w:r>
      <w:r>
        <w:rPr/>
        <w:t>Tercer,</w:t>
      </w:r>
      <w:r>
        <w:rPr>
          <w:spacing w:val="6"/>
        </w:rPr>
        <w:t> </w:t>
      </w:r>
      <w:r>
        <w:rPr/>
        <w:t>articles</w:t>
      </w:r>
      <w:r>
        <w:rPr>
          <w:spacing w:val="5"/>
        </w:rPr>
        <w:t> </w:t>
      </w:r>
      <w:r>
        <w:rPr/>
        <w:t>316</w:t>
      </w:r>
      <w:r>
        <w:rPr>
          <w:spacing w:val="6"/>
        </w:rPr>
        <w:t> </w:t>
      </w:r>
      <w:r>
        <w:rPr>
          <w:spacing w:val="-10"/>
        </w:rPr>
        <w:t>a</w:t>
      </w:r>
    </w:p>
    <w:p>
      <w:pPr>
        <w:pStyle w:val="BodyText"/>
        <w:ind w:left="141" w:right="289"/>
        <w:jc w:val="both"/>
      </w:pPr>
      <w:r>
        <w:rPr/>
        <w:t>320. En aquest articulat s’estableix l’obligació d’aplicar aquesta legislació en tot el seu abast excepte en la regulació dels efectes i extinció dels contractes.</w:t>
      </w:r>
    </w:p>
    <w:p>
      <w:pPr>
        <w:pStyle w:val="BodyText"/>
      </w:pPr>
    </w:p>
    <w:p>
      <w:pPr>
        <w:pStyle w:val="BodyText"/>
      </w:pPr>
    </w:p>
    <w:p>
      <w:pPr>
        <w:pStyle w:val="BodyText"/>
        <w:ind w:left="141"/>
        <w:jc w:val="both"/>
      </w:pPr>
      <w:r>
        <w:rPr/>
        <w:t>Els</w:t>
      </w:r>
      <w:r>
        <w:rPr>
          <w:spacing w:val="-3"/>
        </w:rPr>
        <w:t> </w:t>
      </w:r>
      <w:r>
        <w:rPr/>
        <w:t>òrgans</w:t>
      </w:r>
      <w:r>
        <w:rPr>
          <w:spacing w:val="-2"/>
        </w:rPr>
        <w:t> </w:t>
      </w:r>
      <w:r>
        <w:rPr/>
        <w:t>de</w:t>
      </w:r>
      <w:r>
        <w:rPr>
          <w:spacing w:val="-3"/>
        </w:rPr>
        <w:t> </w:t>
      </w:r>
      <w:r>
        <w:rPr/>
        <w:t>contractació</w:t>
      </w:r>
      <w:r>
        <w:rPr>
          <w:spacing w:val="-2"/>
        </w:rPr>
        <w:t> </w:t>
      </w:r>
      <w:r>
        <w:rPr/>
        <w:t>del</w:t>
      </w:r>
      <w:r>
        <w:rPr>
          <w:spacing w:val="-2"/>
        </w:rPr>
        <w:t> </w:t>
      </w:r>
      <w:r>
        <w:rPr/>
        <w:t>TNC</w:t>
      </w:r>
      <w:r>
        <w:rPr>
          <w:spacing w:val="-2"/>
        </w:rPr>
        <w:t> </w:t>
      </w:r>
      <w:r>
        <w:rPr>
          <w:spacing w:val="-4"/>
        </w:rPr>
        <w:t>son:</w:t>
      </w:r>
    </w:p>
    <w:p>
      <w:pPr>
        <w:pStyle w:val="BodyText"/>
      </w:pPr>
    </w:p>
    <w:p>
      <w:pPr>
        <w:pStyle w:val="ListParagraph"/>
        <w:numPr>
          <w:ilvl w:val="0"/>
          <w:numId w:val="1"/>
        </w:numPr>
        <w:tabs>
          <w:tab w:pos="501" w:val="left" w:leader="none"/>
        </w:tabs>
        <w:spacing w:line="240" w:lineRule="auto" w:before="0" w:after="0"/>
        <w:ind w:left="501" w:right="883" w:hanging="360"/>
        <w:jc w:val="left"/>
        <w:rPr>
          <w:sz w:val="24"/>
        </w:rPr>
      </w:pPr>
      <w:r>
        <w:rPr>
          <w:sz w:val="24"/>
        </w:rPr>
        <w:t>Consell d’Administració del TNC,</w:t>
      </w:r>
      <w:r>
        <w:rPr>
          <w:spacing w:val="-1"/>
          <w:sz w:val="24"/>
        </w:rPr>
        <w:t> </w:t>
      </w:r>
      <w:r>
        <w:rPr>
          <w:sz w:val="24"/>
        </w:rPr>
        <w:t>per contractacions</w:t>
      </w:r>
      <w:r>
        <w:rPr>
          <w:spacing w:val="-1"/>
          <w:sz w:val="24"/>
        </w:rPr>
        <w:t> </w:t>
      </w:r>
      <w:r>
        <w:rPr>
          <w:sz w:val="24"/>
        </w:rPr>
        <w:t>d’import superior a</w:t>
      </w:r>
      <w:r>
        <w:rPr>
          <w:spacing w:val="-1"/>
          <w:sz w:val="24"/>
        </w:rPr>
        <w:t> </w:t>
      </w:r>
      <w:r>
        <w:rPr>
          <w:sz w:val="24"/>
        </w:rPr>
        <w:t>1 milió </w:t>
      </w:r>
      <w:r>
        <w:rPr>
          <w:spacing w:val="-2"/>
          <w:sz w:val="24"/>
        </w:rPr>
        <w:t>d'euros.</w:t>
      </w:r>
    </w:p>
    <w:p>
      <w:pPr>
        <w:pStyle w:val="ListParagraph"/>
        <w:numPr>
          <w:ilvl w:val="0"/>
          <w:numId w:val="1"/>
        </w:numPr>
        <w:tabs>
          <w:tab w:pos="500" w:val="left" w:leader="none"/>
        </w:tabs>
        <w:spacing w:line="240" w:lineRule="auto" w:before="0" w:after="0"/>
        <w:ind w:left="500" w:right="0" w:hanging="359"/>
        <w:jc w:val="both"/>
        <w:rPr>
          <w:sz w:val="24"/>
        </w:rPr>
      </w:pPr>
      <w:r>
        <w:rPr>
          <w:sz w:val="24"/>
        </w:rPr>
        <w:t>Directora Executiva,</w:t>
      </w:r>
      <w:r>
        <w:rPr>
          <w:spacing w:val="-1"/>
          <w:sz w:val="24"/>
        </w:rPr>
        <w:t> </w:t>
      </w:r>
      <w:r>
        <w:rPr>
          <w:sz w:val="24"/>
        </w:rPr>
        <w:t>per contractacions</w:t>
      </w:r>
      <w:r>
        <w:rPr>
          <w:spacing w:val="-1"/>
          <w:sz w:val="24"/>
        </w:rPr>
        <w:t> </w:t>
      </w:r>
      <w:r>
        <w:rPr>
          <w:sz w:val="24"/>
        </w:rPr>
        <w:t>d’import</w:t>
      </w:r>
      <w:r>
        <w:rPr>
          <w:spacing w:val="3"/>
          <w:sz w:val="24"/>
        </w:rPr>
        <w:t> </w:t>
      </w:r>
      <w:r>
        <w:rPr>
          <w:sz w:val="24"/>
        </w:rPr>
        <w:t>fins</w:t>
      </w:r>
      <w:r>
        <w:rPr>
          <w:spacing w:val="2"/>
          <w:sz w:val="24"/>
        </w:rPr>
        <w:t> </w:t>
      </w:r>
      <w:r>
        <w:rPr>
          <w:sz w:val="24"/>
        </w:rPr>
        <w:t>a</w:t>
      </w:r>
      <w:r>
        <w:rPr>
          <w:spacing w:val="2"/>
          <w:sz w:val="24"/>
        </w:rPr>
        <w:t> </w:t>
      </w:r>
      <w:r>
        <w:rPr>
          <w:sz w:val="24"/>
        </w:rPr>
        <w:t>1 milio</w:t>
      </w:r>
      <w:r>
        <w:rPr>
          <w:spacing w:val="1"/>
          <w:sz w:val="24"/>
        </w:rPr>
        <w:t> </w:t>
      </w:r>
      <w:r>
        <w:rPr>
          <w:spacing w:val="-2"/>
          <w:sz w:val="24"/>
        </w:rPr>
        <w:t>d'euros.</w:t>
      </w:r>
    </w:p>
    <w:p>
      <w:pPr>
        <w:pStyle w:val="BodyText"/>
      </w:pPr>
    </w:p>
    <w:p>
      <w:pPr>
        <w:pStyle w:val="BodyText"/>
        <w:ind w:left="568"/>
      </w:pPr>
      <w:r>
        <w:rPr>
          <w:spacing w:val="-2"/>
        </w:rPr>
        <w:t>Ubicació</w:t>
      </w:r>
    </w:p>
    <w:p>
      <w:pPr>
        <w:pStyle w:val="BodyText"/>
        <w:ind w:left="568" w:right="5981"/>
        <w:jc w:val="both"/>
      </w:pPr>
      <w:r>
        <w:rPr/>
        <w:t>Serveis</w:t>
      </w:r>
      <w:r>
        <w:rPr>
          <w:spacing w:val="-11"/>
        </w:rPr>
        <w:t> </w:t>
      </w:r>
      <w:r>
        <w:rPr/>
        <w:t>Jurídics</w:t>
      </w:r>
      <w:r>
        <w:rPr>
          <w:spacing w:val="-11"/>
        </w:rPr>
        <w:t> </w:t>
      </w:r>
      <w:r>
        <w:rPr/>
        <w:t>i</w:t>
      </w:r>
      <w:r>
        <w:rPr>
          <w:spacing w:val="-11"/>
        </w:rPr>
        <w:t> </w:t>
      </w:r>
      <w:r>
        <w:rPr/>
        <w:t>Contractació Plaça de les</w:t>
      </w:r>
      <w:r>
        <w:rPr>
          <w:spacing w:val="-2"/>
        </w:rPr>
        <w:t> </w:t>
      </w:r>
      <w:r>
        <w:rPr/>
        <w:t>Arts, 1, 4a planta 08013- Barcelona</w:t>
      </w:r>
    </w:p>
    <w:p>
      <w:pPr>
        <w:pStyle w:val="BodyText"/>
      </w:pPr>
    </w:p>
    <w:p>
      <w:pPr>
        <w:pStyle w:val="BodyText"/>
        <w:spacing w:before="1"/>
        <w:ind w:left="568"/>
        <w:jc w:val="both"/>
      </w:pPr>
      <w:r>
        <w:rPr/>
        <w:t>Tf.</w:t>
      </w:r>
      <w:r>
        <w:rPr>
          <w:spacing w:val="-1"/>
        </w:rPr>
        <w:t> </w:t>
      </w:r>
      <w:r>
        <w:rPr/>
        <w:t>Contacte:</w:t>
      </w:r>
      <w:r>
        <w:rPr>
          <w:spacing w:val="-2"/>
        </w:rPr>
        <w:t> </w:t>
      </w:r>
      <w:r>
        <w:rPr/>
        <w:t>93</w:t>
      </w:r>
      <w:r>
        <w:rPr>
          <w:spacing w:val="-2"/>
        </w:rPr>
        <w:t> </w:t>
      </w:r>
      <w:r>
        <w:rPr/>
        <w:t>567 57 </w:t>
      </w:r>
      <w:r>
        <w:rPr>
          <w:spacing w:val="-5"/>
        </w:rPr>
        <w:t>56</w:t>
      </w:r>
    </w:p>
    <w:sectPr>
      <w:type w:val="continuous"/>
      <w:pgSz w:w="11910" w:h="16840"/>
      <w:pgMar w:top="440" w:bottom="280" w:left="1133"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501" w:hanging="360"/>
      </w:pPr>
      <w:rPr>
        <w:rFonts w:hint="default" w:ascii="Arial" w:hAnsi="Arial" w:eastAsia="Arial" w:cs="Arial"/>
        <w:b w:val="0"/>
        <w:bCs w:val="0"/>
        <w:i w:val="0"/>
        <w:iCs w:val="0"/>
        <w:spacing w:val="0"/>
        <w:w w:val="100"/>
        <w:sz w:val="24"/>
        <w:szCs w:val="24"/>
        <w:lang w:val="ca-ES" w:eastAsia="en-US" w:bidi="ar-SA"/>
      </w:rPr>
    </w:lvl>
    <w:lvl w:ilvl="1">
      <w:start w:val="0"/>
      <w:numFmt w:val="bullet"/>
      <w:lvlText w:val="•"/>
      <w:lvlJc w:val="left"/>
      <w:pPr>
        <w:ind w:left="1428" w:hanging="360"/>
      </w:pPr>
      <w:rPr>
        <w:rFonts w:hint="default"/>
        <w:lang w:val="ca-ES" w:eastAsia="en-US" w:bidi="ar-SA"/>
      </w:rPr>
    </w:lvl>
    <w:lvl w:ilvl="2">
      <w:start w:val="0"/>
      <w:numFmt w:val="bullet"/>
      <w:lvlText w:val="•"/>
      <w:lvlJc w:val="left"/>
      <w:pPr>
        <w:ind w:left="2356" w:hanging="360"/>
      </w:pPr>
      <w:rPr>
        <w:rFonts w:hint="default"/>
        <w:lang w:val="ca-ES" w:eastAsia="en-US" w:bidi="ar-SA"/>
      </w:rPr>
    </w:lvl>
    <w:lvl w:ilvl="3">
      <w:start w:val="0"/>
      <w:numFmt w:val="bullet"/>
      <w:lvlText w:val="•"/>
      <w:lvlJc w:val="left"/>
      <w:pPr>
        <w:ind w:left="3284" w:hanging="360"/>
      </w:pPr>
      <w:rPr>
        <w:rFonts w:hint="default"/>
        <w:lang w:val="ca-ES" w:eastAsia="en-US" w:bidi="ar-SA"/>
      </w:rPr>
    </w:lvl>
    <w:lvl w:ilvl="4">
      <w:start w:val="0"/>
      <w:numFmt w:val="bullet"/>
      <w:lvlText w:val="•"/>
      <w:lvlJc w:val="left"/>
      <w:pPr>
        <w:ind w:left="4212" w:hanging="360"/>
      </w:pPr>
      <w:rPr>
        <w:rFonts w:hint="default"/>
        <w:lang w:val="ca-ES" w:eastAsia="en-US" w:bidi="ar-SA"/>
      </w:rPr>
    </w:lvl>
    <w:lvl w:ilvl="5">
      <w:start w:val="0"/>
      <w:numFmt w:val="bullet"/>
      <w:lvlText w:val="•"/>
      <w:lvlJc w:val="left"/>
      <w:pPr>
        <w:ind w:left="5140" w:hanging="360"/>
      </w:pPr>
      <w:rPr>
        <w:rFonts w:hint="default"/>
        <w:lang w:val="ca-ES" w:eastAsia="en-US" w:bidi="ar-SA"/>
      </w:rPr>
    </w:lvl>
    <w:lvl w:ilvl="6">
      <w:start w:val="0"/>
      <w:numFmt w:val="bullet"/>
      <w:lvlText w:val="•"/>
      <w:lvlJc w:val="left"/>
      <w:pPr>
        <w:ind w:left="6068" w:hanging="360"/>
      </w:pPr>
      <w:rPr>
        <w:rFonts w:hint="default"/>
        <w:lang w:val="ca-ES" w:eastAsia="en-US" w:bidi="ar-SA"/>
      </w:rPr>
    </w:lvl>
    <w:lvl w:ilvl="7">
      <w:start w:val="0"/>
      <w:numFmt w:val="bullet"/>
      <w:lvlText w:val="•"/>
      <w:lvlJc w:val="left"/>
      <w:pPr>
        <w:ind w:left="6996" w:hanging="360"/>
      </w:pPr>
      <w:rPr>
        <w:rFonts w:hint="default"/>
        <w:lang w:val="ca-ES" w:eastAsia="en-US" w:bidi="ar-SA"/>
      </w:rPr>
    </w:lvl>
    <w:lvl w:ilvl="8">
      <w:start w:val="0"/>
      <w:numFmt w:val="bullet"/>
      <w:lvlText w:val="•"/>
      <w:lvlJc w:val="left"/>
      <w:pPr>
        <w:ind w:left="7925" w:hanging="360"/>
      </w:pPr>
      <w:rPr>
        <w:rFonts w:hint="default"/>
        <w:lang w:val="ca-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ca-ES" w:eastAsia="en-US" w:bidi="ar-SA"/>
    </w:rPr>
  </w:style>
  <w:style w:styleId="BodyText" w:type="paragraph">
    <w:name w:val="Body Text"/>
    <w:basedOn w:val="Normal"/>
    <w:uiPriority w:val="1"/>
    <w:qFormat/>
    <w:pPr/>
    <w:rPr>
      <w:rFonts w:ascii="Arial" w:hAnsi="Arial" w:eastAsia="Arial" w:cs="Arial"/>
      <w:sz w:val="24"/>
      <w:szCs w:val="24"/>
      <w:lang w:val="ca-ES" w:eastAsia="en-US" w:bidi="ar-SA"/>
    </w:rPr>
  </w:style>
  <w:style w:styleId="Title" w:type="paragraph">
    <w:name w:val="Title"/>
    <w:basedOn w:val="Normal"/>
    <w:uiPriority w:val="1"/>
    <w:qFormat/>
    <w:pPr>
      <w:ind w:left="141"/>
      <w:jc w:val="both"/>
    </w:pPr>
    <w:rPr>
      <w:rFonts w:ascii="Arial" w:hAnsi="Arial" w:eastAsia="Arial" w:cs="Arial"/>
      <w:b/>
      <w:bCs/>
      <w:sz w:val="24"/>
      <w:szCs w:val="24"/>
      <w:lang w:val="ca-ES" w:eastAsia="en-US" w:bidi="ar-SA"/>
    </w:rPr>
  </w:style>
  <w:style w:styleId="ListParagraph" w:type="paragraph">
    <w:name w:val="List Paragraph"/>
    <w:basedOn w:val="Normal"/>
    <w:uiPriority w:val="1"/>
    <w:qFormat/>
    <w:pPr>
      <w:ind w:left="500" w:hanging="360"/>
    </w:pPr>
    <w:rPr>
      <w:rFonts w:ascii="Arial" w:hAnsi="Arial" w:eastAsia="Arial" w:cs="Arial"/>
      <w:lang w:val="ca-ES" w:eastAsia="en-US" w:bidi="ar-SA"/>
    </w:rPr>
  </w:style>
  <w:style w:styleId="TableParagraph" w:type="paragraph">
    <w:name w:val="Table Paragraph"/>
    <w:basedOn w:val="Normal"/>
    <w:uiPriority w:val="1"/>
    <w:qFormat/>
    <w:pPr/>
    <w:rPr>
      <w:lang w:val="ca-ES" w:eastAsia="en-US" w:bidi="ar-SA"/>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3" Type="http://schemas.openxmlformats.org/officeDocument/2006/relationships/theme" Target="theme/theme1.xml"/><Relationship Id="rId7" Type="http://schemas.openxmlformats.org/officeDocument/2006/relationships/hyperlink" Target="http://www.tnc.cat/" TargetMode="Externa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info@tnc.cat"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A4C6E7B3FADC438F59C222A97E8F10" ma:contentTypeVersion="16" ma:contentTypeDescription="Crea un document nou" ma:contentTypeScope="" ma:versionID="92d5779326be2f59352c8e800c30521d">
  <xsd:schema xmlns:xsd="http://www.w3.org/2001/XMLSchema" xmlns:xs="http://www.w3.org/2001/XMLSchema" xmlns:p="http://schemas.microsoft.com/office/2006/metadata/properties" xmlns:ns2="baef8a85-1f23-482b-a7f0-f8ab8f3b827a" xmlns:ns3="b3bda063-e3e7-41ea-b941-2d95e8e2807b" targetNamespace="http://schemas.microsoft.com/office/2006/metadata/properties" ma:root="true" ma:fieldsID="63ebc409d052d7279f4c69f14137bdb3" ns2:_="" ns3:_="">
    <xsd:import namespace="baef8a85-1f23-482b-a7f0-f8ab8f3b827a"/>
    <xsd:import namespace="b3bda063-e3e7-41ea-b941-2d95e8e280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f8a85-1f23-482b-a7f0-f8ab8f3b8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Etiquetes de la imatge" ma:readOnly="false" ma:fieldId="{5cf76f15-5ced-4ddc-b409-7134ff3c332f}" ma:taxonomyMulti="true" ma:sspId="3a5b40fd-ae5f-438f-bf72-a816ac90a0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da063-e3e7-41ea-b941-2d95e8e2807b" elementFormDefault="qualified">
    <xsd:import namespace="http://schemas.microsoft.com/office/2006/documentManagement/types"/>
    <xsd:import namespace="http://schemas.microsoft.com/office/infopath/2007/PartnerControls"/>
    <xsd:element name="SharedWithUsers" ma:index="15"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 compartit amb detalls" ma:internalName="SharedWithDetails" ma:readOnly="true">
      <xsd:simpleType>
        <xsd:restriction base="dms:Note">
          <xsd:maxLength value="255"/>
        </xsd:restriction>
      </xsd:simpleType>
    </xsd:element>
    <xsd:element name="TaxCatchAll" ma:index="19" nillable="true" ma:displayName="Taxonomy Catch All Column" ma:hidden="true" ma:list="{8e967f81-6494-460d-8179-a459a93eb176}" ma:internalName="TaxCatchAll" ma:showField="CatchAllData" ma:web="b3bda063-e3e7-41ea-b941-2d95e8e28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bda063-e3e7-41ea-b941-2d95e8e2807b" xsi:nil="true"/>
    <lcf76f155ced4ddcb4097134ff3c332f xmlns="baef8a85-1f23-482b-a7f0-f8ab8f3b82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E0EC7E-CE2B-44B1-AF6F-072D26918F6F}"/>
</file>

<file path=customXml/itemProps2.xml><?xml version="1.0" encoding="utf-8"?>
<ds:datastoreItem xmlns:ds="http://schemas.openxmlformats.org/officeDocument/2006/customXml" ds:itemID="{C4B5A994-A18A-4FE2-ABB2-D370530B7529}"/>
</file>

<file path=customXml/itemProps3.xml><?xml version="1.0" encoding="utf-8"?>
<ds:datastoreItem xmlns:ds="http://schemas.openxmlformats.org/officeDocument/2006/customXml" ds:itemID="{7FDC23A3-0A98-491E-93D9-E18908B77891}"/>
</file>

<file path=docProps/app.xml><?xml version="1.0" encoding="utf-8"?>
<Properties xmlns="http://schemas.openxmlformats.org/officeDocument/2006/extended-properties" xmlns:vt="http://schemas.openxmlformats.org/officeDocument/2006/docPropsVTypes">
  <Company>Teatre Nacional de Catalunya</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Nuria Mombiela Lobato</dc:creator>
  <dcterms:created xsi:type="dcterms:W3CDTF">2025-07-15T14:43:55Z</dcterms:created>
  <dcterms:modified xsi:type="dcterms:W3CDTF">2025-07-15T14:43:55Z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0x010100E2A4C6E7B3FADC438F59C222A97E8F10</vt:lpwstr>
  </property>
  <property fmtid="{D5CDD505-2E9C-101B-9397-08002B2CF9AE}" pid="3" name="Created">
    <vt:filetime>2023-04-21T00:00:00Z</vt:filetime>
  </property>
  <property fmtid="{D5CDD505-2E9C-101B-9397-08002B2CF9AE}" pid="4" name="Creator">
    <vt:lpwstr>Acrobat PDFMaker 23 para Word</vt:lpwstr>
  </property>
  <property fmtid="{D5CDD505-2E9C-101B-9397-08002B2CF9AE}" pid="5" name="LastSaved">
    <vt:filetime>2025-07-15T00:00:00Z</vt:filetime>
  </property>
  <property fmtid="{D5CDD505-2E9C-101B-9397-08002B2CF9AE}" pid="6" name="MediaServiceImageTags">
    <vt:lpwstr/>
  </property>
  <property fmtid="{D5CDD505-2E9C-101B-9397-08002B2CF9AE}" pid="7" name="Order">
    <vt:lpwstr>2260800.000000</vt:lpwstr>
  </property>
  <property fmtid="{D5CDD505-2E9C-101B-9397-08002B2CF9AE}" pid="8" name="Producer">
    <vt:lpwstr>Adobe PDF Library 23.1.175</vt:lpwstr>
  </property>
  <property fmtid="{D5CDD505-2E9C-101B-9397-08002B2CF9AE}" pid="9" name="SourceModified">
    <vt:lpwstr/>
  </property>
</Properties>
</file>